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ED" w:rsidRDefault="00580DED" w:rsidP="00580DED">
      <w:pPr>
        <w:jc w:val="center"/>
        <w:rPr>
          <w:sz w:val="24"/>
          <w:szCs w:val="24"/>
        </w:rPr>
      </w:pPr>
      <w:r>
        <w:rPr>
          <w:noProof/>
          <w:lang w:val="en-US"/>
        </w:rPr>
        <w:drawing>
          <wp:anchor distT="0" distB="0" distL="114300" distR="114300" simplePos="0" relativeHeight="251659264" behindDoc="0" locked="0" layoutInCell="1" allowOverlap="1" wp14:anchorId="560E6288" wp14:editId="00E6E7FB">
            <wp:simplePos x="0" y="0"/>
            <wp:positionH relativeFrom="column">
              <wp:posOffset>2628900</wp:posOffset>
            </wp:positionH>
            <wp:positionV relativeFrom="paragraph">
              <wp:posOffset>-457200</wp:posOffset>
            </wp:positionV>
            <wp:extent cx="808355" cy="688975"/>
            <wp:effectExtent l="0" t="0" r="4445" b="0"/>
            <wp:wrapThrough wrapText="bothSides">
              <wp:wrapPolygon edited="0">
                <wp:start x="0" y="0"/>
                <wp:lineTo x="0" y="20704"/>
                <wp:lineTo x="21040" y="20704"/>
                <wp:lineTo x="21040" y="0"/>
                <wp:lineTo x="0" y="0"/>
              </wp:wrapPolygon>
            </wp:wrapThrough>
            <wp:docPr id="2" name="Picture 2" descr="Breakthroug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through 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35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DED" w:rsidRPr="00CE7AA1" w:rsidRDefault="00580DED" w:rsidP="00580DED">
      <w:pPr>
        <w:jc w:val="center"/>
      </w:pPr>
      <w:r w:rsidRPr="00CE7AA1">
        <w:t>Breakthrough Transformation Trust</w:t>
      </w:r>
    </w:p>
    <w:p w:rsidR="00580DED" w:rsidRPr="00CE7AA1" w:rsidRDefault="00580DED" w:rsidP="00580DED">
      <w:pPr>
        <w:pBdr>
          <w:bottom w:val="single" w:sz="4" w:space="1" w:color="auto"/>
        </w:pBdr>
        <w:jc w:val="center"/>
      </w:pPr>
      <w:r w:rsidRPr="00CE7AA1">
        <w:t xml:space="preserve">HR42 – </w:t>
      </w:r>
      <w:r w:rsidR="00CE7AA1" w:rsidRPr="00CE7AA1">
        <w:t>Prevent Policy</w:t>
      </w:r>
    </w:p>
    <w:p w:rsidR="00CE7AA1" w:rsidRPr="00CE30B7" w:rsidRDefault="00CE7AA1" w:rsidP="00CE7AA1">
      <w:pPr>
        <w:rPr>
          <w:b/>
        </w:rPr>
      </w:pPr>
      <w:r w:rsidRPr="00CE30B7">
        <w:rPr>
          <w:b/>
        </w:rPr>
        <w:t>Prevent</w:t>
      </w:r>
    </w:p>
    <w:p w:rsidR="00CE7AA1" w:rsidRDefault="00CE7AA1" w:rsidP="00CE7AA1">
      <w:r>
        <w:t>From 1 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the duty applies must have regard to statutory guidance issued under section 29 of the CTSA 2015. Paragraphs 57-76 of the Revised Prevent duty guidance: for England and Wales are specifically concerned with schools (but also cover childcare). The guidance is set out in terms of four general themes: Risk assessment, working in partnership, staff training, and IT policies.</w:t>
      </w:r>
    </w:p>
    <w:p w:rsidR="00CE7AA1" w:rsidRDefault="00CE7AA1" w:rsidP="00CE7AA1">
      <w:r>
        <w:t xml:space="preserve">• Schools are expected to assess the risk of children being drawn into terrorism, including support for extremist ideas that are part of terrorist ideology. This means </w:t>
      </w:r>
      <w:r w:rsidRPr="00CE30B7">
        <w:t>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w:t>
      </w:r>
    </w:p>
    <w:p w:rsidR="00CE7AA1" w:rsidRDefault="00CE7AA1" w:rsidP="00CE7AA1">
      <w:pPr>
        <w:pStyle w:val="ListParagraph"/>
        <w:numPr>
          <w:ilvl w:val="0"/>
          <w:numId w:val="2"/>
        </w:numPr>
      </w:pPr>
      <w: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CE7AA1" w:rsidRDefault="00CE7AA1" w:rsidP="00CE7AA1">
      <w:pPr>
        <w:pStyle w:val="ListParagraph"/>
        <w:numPr>
          <w:ilvl w:val="0"/>
          <w:numId w:val="2"/>
        </w:numPr>
      </w:pPr>
      <w:r>
        <w:t>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p w:rsidR="00CE7AA1" w:rsidRDefault="00CE7AA1" w:rsidP="00CE7AA1">
      <w:pPr>
        <w:pStyle w:val="ListParagraph"/>
        <w:numPr>
          <w:ilvl w:val="0"/>
          <w:numId w:val="2"/>
        </w:numPr>
      </w:pPr>
      <w:r>
        <w:t>“Terrorism” for these purposes has the same meaning as for the Terrorism Act 2000 (section 1(1) to (4) of that Act).</w:t>
      </w:r>
    </w:p>
    <w:p w:rsidR="00CE7AA1" w:rsidRDefault="00CE7AA1" w:rsidP="00CE7AA1">
      <w:r>
        <w:t xml:space="preserve">• The Prevent duty builds on existing local partnership arrangements. For example, governing bodies and proprietors of all schools should ensure that </w:t>
      </w:r>
      <w:proofErr w:type="gramStart"/>
      <w:r>
        <w:t>their</w:t>
      </w:r>
      <w:proofErr w:type="gramEnd"/>
      <w:r>
        <w:t xml:space="preserve">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w:t>
      </w:r>
    </w:p>
    <w:p w:rsidR="00CE7AA1" w:rsidRDefault="00CE7AA1" w:rsidP="00CE7AA1">
      <w:r>
        <w:t>•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w:t>
      </w:r>
    </w:p>
    <w:p w:rsidR="00CE7AA1" w:rsidRDefault="00CE7AA1" w:rsidP="00CE7AA1">
      <w:r>
        <w:t xml:space="preserve">• Schools should ensure that children are safe from terrorist and extremist material when accessing the </w:t>
      </w:r>
      <w:proofErr w:type="gramStart"/>
      <w:r>
        <w:t>internet</w:t>
      </w:r>
      <w:proofErr w:type="gramEnd"/>
      <w:r>
        <w:t xml:space="preserve"> in schools.</w:t>
      </w:r>
    </w:p>
    <w:p w:rsidR="00CE7AA1" w:rsidRDefault="00CE7AA1" w:rsidP="00CE7AA1">
      <w:r>
        <w:lastRenderedPageBreak/>
        <w:t>There is additional guidance: Prevent duty guidance: for further education institutions in England and Wales that applies to colleges.</w:t>
      </w:r>
    </w:p>
    <w:p w:rsidR="00CE7AA1" w:rsidRDefault="00CE7AA1" w:rsidP="00CE7AA1">
      <w:r>
        <w:t xml:space="preserve">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w:t>
      </w:r>
      <w:proofErr w:type="gramStart"/>
      <w:r>
        <w:t>e-learning</w:t>
      </w:r>
      <w:proofErr w:type="gramEnd"/>
      <w:r>
        <w:t>, via the Prevent Training catalogue.</w:t>
      </w:r>
    </w:p>
    <w:p w:rsidR="00CE7AA1" w:rsidRPr="00CE30B7" w:rsidRDefault="00CE7AA1" w:rsidP="00CE7AA1">
      <w:pPr>
        <w:rPr>
          <w:b/>
        </w:rPr>
      </w:pPr>
      <w:r w:rsidRPr="00CE30B7">
        <w:rPr>
          <w:b/>
        </w:rPr>
        <w:t>Channel</w:t>
      </w:r>
    </w:p>
    <w:p w:rsidR="00CE7AA1" w:rsidRDefault="00CE7AA1" w:rsidP="00CE7AA1">
      <w:r>
        <w:t xml:space="preserve">School and college staff should understand when it is appropriate to make a referral to the Channel programme. Channel guidance is available at: Channel guidance. An e-learning channel awareness programme for staff is available at: Channel General Awareness. Channel is a </w:t>
      </w:r>
      <w:proofErr w:type="gramStart"/>
      <w:r>
        <w:t>programme which</w:t>
      </w:r>
      <w:proofErr w:type="gramEnd"/>
      <w:r>
        <w:t xml:space="preserve">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w:t>
      </w:r>
    </w:p>
    <w:p w:rsidR="00CE7AA1" w:rsidRDefault="00CE7AA1" w:rsidP="00CE7AA1">
      <w: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the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that are required to have regard to Keeping children safe in education are listed in the CTSA 2015 as partners required to cooperate with local Channel panels.</w:t>
      </w:r>
    </w:p>
    <w:p w:rsidR="00CE7AA1" w:rsidRPr="00A03A23" w:rsidRDefault="00CE7AA1" w:rsidP="00CE7AA1">
      <w:pPr>
        <w:rPr>
          <w:b/>
        </w:rPr>
      </w:pPr>
      <w:r w:rsidRPr="00A03A23">
        <w:rPr>
          <w:b/>
        </w:rPr>
        <w:t>Legislation relating to this policy:</w:t>
      </w:r>
    </w:p>
    <w:p w:rsidR="00CE7AA1" w:rsidRDefault="00CE7AA1" w:rsidP="00CE7AA1">
      <w:r>
        <w:t>Children Act 1989, 2004</w:t>
      </w:r>
    </w:p>
    <w:p w:rsidR="00CE7AA1" w:rsidRDefault="00CE7AA1" w:rsidP="00CE7AA1">
      <w:r>
        <w:t>Education Act 1996, 2002 (Section 175)</w:t>
      </w:r>
    </w:p>
    <w:p w:rsidR="00CE7AA1" w:rsidRDefault="00CE7AA1" w:rsidP="00CE7AA1">
      <w:r>
        <w:t>School Standards and Framework act 1998</w:t>
      </w:r>
    </w:p>
    <w:p w:rsidR="00CE7AA1" w:rsidRDefault="00CE7AA1" w:rsidP="00CE7AA1">
      <w:r>
        <w:t>Keeping Children Safe in Education 2015</w:t>
      </w:r>
    </w:p>
    <w:p w:rsidR="00580DED" w:rsidRPr="00CE7AA1" w:rsidRDefault="00CE7AA1" w:rsidP="00580DED">
      <w:r>
        <w:t>Every Child Matters 2003</w:t>
      </w:r>
    </w:p>
    <w:p w:rsidR="00580DED" w:rsidRPr="00CE30B7" w:rsidRDefault="00580DED" w:rsidP="00580DED">
      <w:pPr>
        <w:rPr>
          <w:b/>
        </w:rPr>
      </w:pPr>
      <w:r w:rsidRPr="00CE30B7">
        <w:rPr>
          <w:b/>
        </w:rPr>
        <w:t>FGM mandatory reporting duty</w:t>
      </w:r>
    </w:p>
    <w:p w:rsidR="00580DED" w:rsidRDefault="00580DED" w:rsidP="00580DED">
      <w:r>
        <w:t>FGM comprises all procedures involving partial or total removal of the external female genitalia or other injury to the female genital organs. It is illegal in the UK and a form of child abuse with long-lasting harmful consequences.</w:t>
      </w:r>
    </w:p>
    <w:p w:rsidR="00580DED" w:rsidRDefault="00580DED" w:rsidP="00580DED">
      <w:r>
        <w:t>Section 5B of the Female Genital Mutilation Act 2003 (as inserted by section 74 of the Serious Crime Act 2015</w:t>
      </w:r>
      <w:proofErr w:type="gramStart"/>
      <w:r>
        <w:t>)  places</w:t>
      </w:r>
      <w:proofErr w:type="gramEnd"/>
      <w:r>
        <w:t xml:space="preserve">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p>
    <w:p w:rsidR="00580DED" w:rsidRDefault="00580DED" w:rsidP="00580DED">
      <w:r>
        <w:t>Teachers must 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w:t>
      </w:r>
    </w:p>
    <w:p w:rsidR="00580DED" w:rsidRPr="00CE30B7" w:rsidRDefault="00580DED" w:rsidP="00580DED">
      <w:pPr>
        <w:rPr>
          <w:b/>
        </w:rPr>
      </w:pPr>
      <w:r w:rsidRPr="00CE30B7">
        <w:rPr>
          <w:b/>
        </w:rPr>
        <w:t>Forced marriage</w:t>
      </w:r>
    </w:p>
    <w:p w:rsidR="00580DED" w:rsidRDefault="00580DED" w:rsidP="00580DED">
      <w: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Section 5B(11) of the FGM Act 2003 (as inserted by section 74 of the Serious Crime Act 2015) provides the definition for the term ‘teacher’: ”teacher” means – (a) in relation to England, a person within section 141A(1) of the Education Act 2002 (persons employed or engaged to carry out teaching work at schools and other institutions in England).  Section 5B(6) of the Female Genital Mutilation Act 2003 states teachers need not report a case to the police if they have reason to believe that another teacher has already reported the case.</w:t>
      </w:r>
    </w:p>
    <w:p w:rsidR="00580DED" w:rsidRDefault="00580DED" w:rsidP="00580DED">
      <w:r>
        <w:t>The Forced Marriage Unit has published Multi-agency guidelines, with pages 32-36 focusing on the role of schools and colleges. School and college staff can contact the Forced Marriage Unit if they need advice or information: Contact: 020 7008 0151 or email fmu@fco.gov.uk.</w:t>
      </w:r>
    </w:p>
    <w:p w:rsidR="00580DED" w:rsidRPr="00CE30B7" w:rsidRDefault="00580DED" w:rsidP="00580DED">
      <w:pPr>
        <w:rPr>
          <w:b/>
        </w:rPr>
      </w:pPr>
      <w:r w:rsidRPr="00CE30B7">
        <w:rPr>
          <w:b/>
        </w:rPr>
        <w:t>Further information on preventing radicalisation</w:t>
      </w:r>
    </w:p>
    <w:p w:rsidR="00580DED" w:rsidRDefault="00580DED" w:rsidP="00580DED">
      <w:r>
        <w:t>Protecting children from the risk of radicalisation should be seen as part of schools’ and colleges’ wider safeguarding duties, and is similar in nature to protecting children from other forms of harm and abuse. During the process of radicalisation it is possible to intervene to prevent vulnerable people being radicalised.</w:t>
      </w:r>
    </w:p>
    <w:p w:rsidR="00580DED" w:rsidRDefault="00580DED" w:rsidP="00580DED">
      <w: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w:t>
      </w:r>
      <w:proofErr w:type="gramStart"/>
      <w:r>
        <w:t>internet</w:t>
      </w:r>
      <w:proofErr w:type="gramEnd"/>
      <w:r>
        <w:t xml:space="preserve"> and the use of social media in particular has become a major factor in the radicalisation of young people.</w:t>
      </w:r>
    </w:p>
    <w:p w:rsidR="00580DED" w:rsidRDefault="00580DED" w:rsidP="00580DED">
      <w:r>
        <w:t xml:space="preserve">As with other safeguarding risks, staff should be alert to changes in children’s </w:t>
      </w:r>
      <w:proofErr w:type="gramStart"/>
      <w:r>
        <w:t>behaviour which</w:t>
      </w:r>
      <w:proofErr w:type="gramEnd"/>
      <w:r>
        <w:t xml:space="preserve"> could indicate that they may be in need of help or protection. Staff should use their judgement in identifying children who might be at risk of radicalisation and act proportionately, which may include making a referral to the Channel programme.</w:t>
      </w:r>
    </w:p>
    <w:p w:rsidR="00580DED" w:rsidRDefault="00580DED" w:rsidP="00580DED">
      <w:r>
        <w:t>Statutory Framework for the Early Years Foundation Stage 2014</w:t>
      </w:r>
    </w:p>
    <w:p w:rsidR="00580DED" w:rsidRDefault="00580DED" w:rsidP="00580DED">
      <w:r>
        <w:t>Working Together to Safeguard Children 2015</w:t>
      </w:r>
    </w:p>
    <w:p w:rsidR="00612F8A" w:rsidRDefault="00580DED">
      <w:r>
        <w:t>The Counter Terrorism and Security Act 2015</w:t>
      </w:r>
      <w:bookmarkStart w:id="0" w:name="_GoBack"/>
      <w:bookmarkEnd w:id="0"/>
    </w:p>
    <w:sectPr w:rsidR="00612F8A" w:rsidSect="00CE7AA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A66"/>
    <w:multiLevelType w:val="hybridMultilevel"/>
    <w:tmpl w:val="7158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17D0E"/>
    <w:multiLevelType w:val="hybridMultilevel"/>
    <w:tmpl w:val="4A80901A"/>
    <w:lvl w:ilvl="0" w:tplc="D608A0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ED"/>
    <w:rsid w:val="002C2CB9"/>
    <w:rsid w:val="00580DED"/>
    <w:rsid w:val="00612F8A"/>
    <w:rsid w:val="00C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E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D"/>
    <w:pPr>
      <w:ind w:left="720"/>
      <w:contextualSpacing/>
    </w:pPr>
  </w:style>
  <w:style w:type="character" w:styleId="Hyperlink">
    <w:name w:val="Hyperlink"/>
    <w:basedOn w:val="DefaultParagraphFont"/>
    <w:uiPriority w:val="99"/>
    <w:unhideWhenUsed/>
    <w:rsid w:val="00580DED"/>
    <w:rPr>
      <w:color w:val="0000FF" w:themeColor="hyperlink"/>
      <w:u w:val="single"/>
    </w:rPr>
  </w:style>
  <w:style w:type="paragraph" w:styleId="BalloonText">
    <w:name w:val="Balloon Text"/>
    <w:basedOn w:val="Normal"/>
    <w:link w:val="BalloonTextChar"/>
    <w:uiPriority w:val="99"/>
    <w:semiHidden/>
    <w:unhideWhenUsed/>
    <w:rsid w:val="00580D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DED"/>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E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D"/>
    <w:pPr>
      <w:ind w:left="720"/>
      <w:contextualSpacing/>
    </w:pPr>
  </w:style>
  <w:style w:type="character" w:styleId="Hyperlink">
    <w:name w:val="Hyperlink"/>
    <w:basedOn w:val="DefaultParagraphFont"/>
    <w:uiPriority w:val="99"/>
    <w:unhideWhenUsed/>
    <w:rsid w:val="00580DED"/>
    <w:rPr>
      <w:color w:val="0000FF" w:themeColor="hyperlink"/>
      <w:u w:val="single"/>
    </w:rPr>
  </w:style>
  <w:style w:type="paragraph" w:styleId="BalloonText">
    <w:name w:val="Balloon Text"/>
    <w:basedOn w:val="Normal"/>
    <w:link w:val="BalloonTextChar"/>
    <w:uiPriority w:val="99"/>
    <w:semiHidden/>
    <w:unhideWhenUsed/>
    <w:rsid w:val="00580D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DED"/>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1672</Words>
  <Characters>9533</Characters>
  <Application>Microsoft Macintosh Word</Application>
  <DocSecurity>0</DocSecurity>
  <Lines>79</Lines>
  <Paragraphs>22</Paragraphs>
  <ScaleCrop>false</ScaleCrop>
  <Company>Breakthrough</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Breakthrough</dc:creator>
  <cp:keywords/>
  <dc:description/>
  <cp:lastModifiedBy>Breakthrough</cp:lastModifiedBy>
  <cp:revision>2</cp:revision>
  <cp:lastPrinted>2016-10-20T09:12:00Z</cp:lastPrinted>
  <dcterms:created xsi:type="dcterms:W3CDTF">2016-10-20T09:54:00Z</dcterms:created>
  <dcterms:modified xsi:type="dcterms:W3CDTF">2016-10-20T09:54:00Z</dcterms:modified>
</cp:coreProperties>
</file>